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55CC3" w14:textId="77777777" w:rsidR="00E37726" w:rsidRDefault="00E37726" w:rsidP="00E37726">
      <w:pPr>
        <w:spacing w:after="0"/>
      </w:pPr>
    </w:p>
    <w:p w14:paraId="6A6E3EC2" w14:textId="77777777" w:rsidR="00C00054" w:rsidRDefault="00C00054" w:rsidP="00E37726">
      <w:pPr>
        <w:spacing w:after="0"/>
      </w:pPr>
    </w:p>
    <w:p w14:paraId="6A9BE8FB" w14:textId="77777777" w:rsidR="00C00054" w:rsidRDefault="00C00054" w:rsidP="00E37726">
      <w:pPr>
        <w:spacing w:after="0"/>
      </w:pPr>
    </w:p>
    <w:p w14:paraId="2F8A9988" w14:textId="78D3B921" w:rsidR="008C52C6" w:rsidRDefault="008C52C6" w:rsidP="00E37726">
      <w:pPr>
        <w:spacing w:after="0"/>
      </w:pPr>
    </w:p>
    <w:p w14:paraId="644D51DA" w14:textId="09A9B95D" w:rsidR="00C00054" w:rsidRDefault="00C00054" w:rsidP="00E37726">
      <w:pPr>
        <w:spacing w:after="0"/>
      </w:pPr>
    </w:p>
    <w:p w14:paraId="063AD6DE" w14:textId="77777777" w:rsidR="00C00054" w:rsidRDefault="00C00054" w:rsidP="00E37726">
      <w:pPr>
        <w:spacing w:after="0"/>
      </w:pPr>
    </w:p>
    <w:p w14:paraId="194E8310" w14:textId="77777777" w:rsidR="00E37726" w:rsidRDefault="00E37726" w:rsidP="00E37726">
      <w:pPr>
        <w:sectPr w:rsidR="00E37726" w:rsidSect="00E37726">
          <w:headerReference w:type="first" r:id="rId9"/>
          <w:pgSz w:w="12240" w:h="15840"/>
          <w:pgMar w:top="1440" w:right="1440" w:bottom="1440" w:left="1440" w:header="720" w:footer="720" w:gutter="0"/>
          <w:cols w:num="2" w:space="720"/>
          <w:titlePg/>
          <w:docGrid w:linePitch="360"/>
        </w:sectPr>
      </w:pPr>
    </w:p>
    <w:p w14:paraId="4E375F1A" w14:textId="504BD588" w:rsidR="00C00054" w:rsidRDefault="008D5959" w:rsidP="00E37726">
      <w:r>
        <w:t>October 29, 2019 </w:t>
      </w:r>
      <w:bookmarkStart w:id="0" w:name="_GoBack"/>
      <w:bookmarkEnd w:id="0"/>
    </w:p>
    <w:p w14:paraId="117A4715" w14:textId="1161173E" w:rsidR="008D5959" w:rsidRDefault="008D5959" w:rsidP="008D5959">
      <w:pPr>
        <w:spacing w:after="0" w:line="240" w:lineRule="auto"/>
      </w:pPr>
      <w:r>
        <w:t>The Honorable Bobby Scott</w:t>
      </w:r>
      <w:r>
        <w:tab/>
      </w:r>
      <w:r>
        <w:tab/>
      </w:r>
      <w:r>
        <w:tab/>
      </w:r>
      <w:r>
        <w:tab/>
      </w:r>
      <w:proofErr w:type="gramStart"/>
      <w:r>
        <w:t>The</w:t>
      </w:r>
      <w:proofErr w:type="gramEnd"/>
      <w:r>
        <w:t xml:space="preserve"> Honorable Virginia Foxx</w:t>
      </w:r>
    </w:p>
    <w:p w14:paraId="5DE7D9F4" w14:textId="3523B968" w:rsidR="008D5959" w:rsidRDefault="008D5959" w:rsidP="008D5959">
      <w:pPr>
        <w:spacing w:after="0" w:line="240" w:lineRule="auto"/>
      </w:pPr>
      <w:r>
        <w:t>Chairman</w:t>
      </w:r>
      <w:r>
        <w:tab/>
      </w:r>
      <w:r>
        <w:tab/>
      </w:r>
      <w:r>
        <w:tab/>
      </w:r>
      <w:r>
        <w:tab/>
      </w:r>
      <w:r>
        <w:tab/>
      </w:r>
      <w:r>
        <w:tab/>
        <w:t>Ranking Member</w:t>
      </w:r>
    </w:p>
    <w:p w14:paraId="32672019" w14:textId="041B5BB4" w:rsidR="008D5959" w:rsidRDefault="008D5959" w:rsidP="008D5959">
      <w:pPr>
        <w:spacing w:after="0" w:line="240" w:lineRule="auto"/>
      </w:pPr>
      <w:r>
        <w:t>House Education and Labor Committee</w:t>
      </w:r>
      <w:r>
        <w:tab/>
      </w:r>
      <w:r>
        <w:tab/>
      </w:r>
      <w:r>
        <w:tab/>
        <w:t>House Education and Labor Committee</w:t>
      </w:r>
    </w:p>
    <w:p w14:paraId="30D6C6E4" w14:textId="2050915B" w:rsidR="008D5959" w:rsidRDefault="008D5959" w:rsidP="008D5959">
      <w:pPr>
        <w:spacing w:after="0" w:line="240" w:lineRule="auto"/>
      </w:pPr>
      <w:r>
        <w:t>2176 Rayburn House Office Building</w:t>
      </w:r>
      <w:r>
        <w:tab/>
      </w:r>
      <w:r>
        <w:tab/>
      </w:r>
      <w:r>
        <w:tab/>
        <w:t>2101 Rayburn House Office Building</w:t>
      </w:r>
    </w:p>
    <w:p w14:paraId="47199C5D" w14:textId="69A44218" w:rsidR="008D5959" w:rsidRDefault="008D5959" w:rsidP="008D5959">
      <w:pPr>
        <w:spacing w:after="0" w:line="240" w:lineRule="auto"/>
      </w:pPr>
      <w:r>
        <w:t>Washington, D.C. 20515</w:t>
      </w:r>
      <w:r>
        <w:tab/>
      </w:r>
      <w:r>
        <w:tab/>
      </w:r>
      <w:r>
        <w:tab/>
      </w:r>
      <w:r>
        <w:tab/>
      </w:r>
      <w:r>
        <w:tab/>
        <w:t>Washington, D.C. 20515</w:t>
      </w:r>
    </w:p>
    <w:p w14:paraId="6B802692" w14:textId="4960715B" w:rsidR="008D5959" w:rsidRDefault="008D5959" w:rsidP="008D5959">
      <w:pPr>
        <w:spacing w:after="0" w:line="240" w:lineRule="auto"/>
      </w:pPr>
    </w:p>
    <w:p w14:paraId="38F5B16C" w14:textId="7905C3DE" w:rsidR="008D5959" w:rsidRDefault="008D5959" w:rsidP="00914623">
      <w:r>
        <w:t xml:space="preserve">Dear Chairman Scott and Ranking Member Foxx: </w:t>
      </w:r>
    </w:p>
    <w:p w14:paraId="3AF6CC14" w14:textId="55014E32" w:rsidR="00914623" w:rsidRDefault="00831A5C" w:rsidP="00914623">
      <w:r w:rsidRPr="00E37726">
        <w:t xml:space="preserve">On behalf of AASA, The School Superintendents Association, </w:t>
      </w:r>
      <w:r>
        <w:t>the Association of Educational Service Agencies, the National Rural Education Advocacy Coalition, and the</w:t>
      </w:r>
      <w:r w:rsidR="00842F0A">
        <w:t xml:space="preserve"> National Rural Education Association</w:t>
      </w:r>
      <w:r>
        <w:t xml:space="preserve">, </w:t>
      </w:r>
      <w:r w:rsidRPr="00E37726">
        <w:t>representing public</w:t>
      </w:r>
      <w:r>
        <w:t xml:space="preserve"> </w:t>
      </w:r>
      <w:r w:rsidRPr="00E37726">
        <w:t>school system leaders across the country</w:t>
      </w:r>
      <w:r w:rsidR="00914623">
        <w:t xml:space="preserve">, I write to express our </w:t>
      </w:r>
      <w:r w:rsidR="00321F0E">
        <w:t xml:space="preserve">support </w:t>
      </w:r>
      <w:r w:rsidR="00914623">
        <w:t xml:space="preserve">for introducing H.R. 4674, the College Affordability Act. </w:t>
      </w:r>
      <w:r w:rsidR="007A2739">
        <w:t xml:space="preserve">At </w:t>
      </w:r>
      <w:r w:rsidR="00914623">
        <w:t xml:space="preserve">a time when our nation’s schools are facing acute teacher and school leader shortages the bill makes substantial progress towards providing our public schools with profession ready educators </w:t>
      </w:r>
      <w:r w:rsidR="00984106">
        <w:t>who</w:t>
      </w:r>
      <w:r w:rsidR="00914623">
        <w:t xml:space="preserve"> </w:t>
      </w:r>
      <w:proofErr w:type="gramStart"/>
      <w:r w:rsidR="00914623">
        <w:t>are able to</w:t>
      </w:r>
      <w:proofErr w:type="gramEnd"/>
      <w:r w:rsidR="00914623">
        <w:t xml:space="preserve"> provide our students with a 21st century education.</w:t>
      </w:r>
    </w:p>
    <w:p w14:paraId="7C5CD625" w14:textId="618ABCEC" w:rsidR="00914623" w:rsidRDefault="00914623" w:rsidP="00914623">
      <w:r>
        <w:t xml:space="preserve">Specifically, we are in favor of the bill's effort to preserve and expand the resources for future and current teachers and school system leaders through the reauthorization of the Teacher Quality Partnership (TQP) grants, which enable Institutes of Higher Education (IHE) and State Education Agencies (SEA) to partner with a high needs </w:t>
      </w:r>
      <w:r w:rsidR="008D5959">
        <w:t>districts</w:t>
      </w:r>
      <w:r>
        <w:t xml:space="preserve"> to create cohort-based teacher and school leader residency, mentoring, and induction models that offer students clinical experience in school settings. From our perspective, this is a common-sense approach for updating Title II of the Higher Education Act. Moreover, AASA also supports the Committee's decision to expand the allowable uses of TQP grants to establish "Grow Your Own" programs, which has been an effective strategy to improve the diversity of the educator workforce.</w:t>
      </w:r>
    </w:p>
    <w:p w14:paraId="10D511F6" w14:textId="16AEF002" w:rsidR="00914623" w:rsidRDefault="00914623" w:rsidP="00914623">
      <w:r>
        <w:t xml:space="preserve">Additionally, the College Affordability Act takes critical steps at incentivizing teachers and school system leaders to enter the profession through its reforms to the Public Service Loan Forgiveness (PSLF) program. As has been reported by various news outlets, PSLF has come under fire for its over-complicated eligibility criteria that have prevented swaths of borrowers from having their federal student loans forgiven due to confusion about the Income-Driven Repayment plans. Therefore, we support the Committee's decision to include language in the act that creates one Income-Driven Repayment (IBR) plan, </w:t>
      </w:r>
      <w:proofErr w:type="gramStart"/>
      <w:r>
        <w:t>in an attempt to</w:t>
      </w:r>
      <w:proofErr w:type="gramEnd"/>
      <w:r>
        <w:t xml:space="preserve"> address </w:t>
      </w:r>
      <w:r w:rsidR="008D5959">
        <w:t>the current implementation’s shortfalls</w:t>
      </w:r>
      <w:r>
        <w:t>. AASA also supports improvements to the PSLF program that enables teachers to count loan payments for the Teacher Loan Forgiveness program at the same time as PSLF, thereby reducing the number of monthly payments needed towards PSLF.</w:t>
      </w:r>
    </w:p>
    <w:p w14:paraId="791FAF6D" w14:textId="69021055" w:rsidR="00914623" w:rsidRDefault="00914623" w:rsidP="00914623">
      <w:r>
        <w:t xml:space="preserve">AASA was also pleased to see that the bill attempted to address the poor management and administration of the TEACH grants program by delaying loan conversion until 7-years after the completion of a baccalaureate or associate program, redirecting the programs' aid to junior and senior teacher prep candidates, and expanding the maximum award amount to $8,000 per year. However, we </w:t>
      </w:r>
      <w:r>
        <w:lastRenderedPageBreak/>
        <w:t>are concerned that new data collection and accountability requirements under the act could disincentivize educator preparation institutions from applying for TEACH grants -</w:t>
      </w:r>
      <w:r w:rsidR="00984106">
        <w:t>-</w:t>
      </w:r>
      <w:r>
        <w:t>as these programs have been facing reductions in enrollment and funding in recent years</w:t>
      </w:r>
      <w:r w:rsidR="00984106">
        <w:t>-</w:t>
      </w:r>
      <w:r>
        <w:t>- and ultimately, exacerbate the nation's teacher shortage.</w:t>
      </w:r>
    </w:p>
    <w:p w14:paraId="0EEA8CCA" w14:textId="6C44ABE3" w:rsidR="0007575A" w:rsidRDefault="0007575A" w:rsidP="00D11EE6">
      <w:r w:rsidRPr="0007575A">
        <w:t xml:space="preserve">AASA was also pleased to see that the bill emphasized programs that assist and develop students entering and completing college and postsecondary programs through its decision to increase the authorized spending levels of the TRIO and GEAR UP programs from $900,000,000 to $1.2B. </w:t>
      </w:r>
      <w:r w:rsidR="00984106">
        <w:t xml:space="preserve">We were also pleased to see the simplification of </w:t>
      </w:r>
      <w:r w:rsidR="00FB7A1C">
        <w:t xml:space="preserve">the Free Application for Federal Student Aid that will make the financial aid process more assessable for students. Furthermore, we were pleased the bill rejects the admiration’s proposed Title IX rewrite and maintains the 2001 Title IX guidance. </w:t>
      </w:r>
    </w:p>
    <w:p w14:paraId="24C12136" w14:textId="2023E804" w:rsidR="00495568" w:rsidRDefault="00914623" w:rsidP="00E37726">
      <w:r>
        <w:t xml:space="preserve">Although AASA is disappointed in the lack of bipartisanship that lead to the creation of H.R. 4674, it is undeniable that the bill takes steps to address educator and school leader </w:t>
      </w:r>
      <w:r w:rsidR="00FB7A1C">
        <w:t>shortages and</w:t>
      </w:r>
      <w:r>
        <w:t xml:space="preserve"> increases access to post-secondary programs for all students. Moreover, the College Affordability act would represent a step forward for future teachers and school systems, and thus, enable the nation to establish an actionable plan to reduce educator recruitment and retention problems in schools throughout the country. That said, we urge the committee to address the data collection and reporting critiques, mentioned earlier in this letter, to mitigate the unintended consequences from the act. Thank you for your leadership on these critical issues, and we look forward to working with you as this process continues. </w:t>
      </w:r>
      <w:r w:rsidR="00E66577">
        <w:t xml:space="preserve">Please do not hesitate to contact </w:t>
      </w:r>
      <w:r>
        <w:t xml:space="preserve">Chris Rogers </w:t>
      </w:r>
      <w:r w:rsidR="00E66577">
        <w:t>at</w:t>
      </w:r>
      <w:r>
        <w:t xml:space="preserve"> </w:t>
      </w:r>
      <w:hyperlink r:id="rId10" w:history="1">
        <w:r w:rsidRPr="005229D0">
          <w:rPr>
            <w:rStyle w:val="Hyperlink"/>
          </w:rPr>
          <w:t>crogers@aasa.org</w:t>
        </w:r>
      </w:hyperlink>
      <w:r>
        <w:t xml:space="preserve"> </w:t>
      </w:r>
      <w:r w:rsidR="00E66577">
        <w:t>or 703-203-3105</w:t>
      </w:r>
      <w:r>
        <w:t xml:space="preserve"> for questions or comments</w:t>
      </w:r>
      <w:r w:rsidR="00E66577">
        <w:t>.</w:t>
      </w:r>
    </w:p>
    <w:p w14:paraId="13B88F3A" w14:textId="1BF55CE4" w:rsidR="00E37726" w:rsidRDefault="00E37726" w:rsidP="00914623">
      <w:pPr>
        <w:spacing w:line="240" w:lineRule="auto"/>
      </w:pPr>
      <w:r>
        <w:t>Sincerely,</w:t>
      </w:r>
    </w:p>
    <w:p w14:paraId="2EF94F66" w14:textId="5E3F234D" w:rsidR="000B16AD" w:rsidRDefault="007B51B3" w:rsidP="00914623">
      <w:pPr>
        <w:spacing w:line="240" w:lineRule="auto"/>
      </w:pPr>
      <w:r>
        <w:t>Christian Rogers</w:t>
      </w:r>
    </w:p>
    <w:p w14:paraId="3FBA9524" w14:textId="76E4FB4F" w:rsidR="00495568" w:rsidRPr="000B16AD" w:rsidRDefault="00FA5B99" w:rsidP="00914623">
      <w:pPr>
        <w:spacing w:line="240" w:lineRule="auto"/>
        <w:rPr>
          <w:rFonts w:ascii="Brush Script MT" w:hAnsi="Brush Script MT"/>
        </w:rPr>
      </w:pPr>
      <w:r w:rsidRPr="000B16AD">
        <w:rPr>
          <w:rFonts w:ascii="Brush Script MT" w:hAnsi="Brush Script MT"/>
        </w:rPr>
        <w:t>Christian Rogers</w:t>
      </w:r>
    </w:p>
    <w:p w14:paraId="21ADD3E1" w14:textId="2A9E434C" w:rsidR="00914623" w:rsidRDefault="00914623" w:rsidP="00914623">
      <w:pPr>
        <w:spacing w:line="240" w:lineRule="auto"/>
      </w:pPr>
      <w:r>
        <w:t>Policy Analyst</w:t>
      </w:r>
    </w:p>
    <w:sectPr w:rsidR="00914623" w:rsidSect="00E3772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64677" w14:textId="77777777" w:rsidR="0085294B" w:rsidRDefault="0085294B" w:rsidP="00E37726">
      <w:pPr>
        <w:spacing w:after="0" w:line="240" w:lineRule="auto"/>
      </w:pPr>
      <w:r>
        <w:separator/>
      </w:r>
    </w:p>
  </w:endnote>
  <w:endnote w:type="continuationSeparator" w:id="0">
    <w:p w14:paraId="31060F3A" w14:textId="77777777" w:rsidR="0085294B" w:rsidRDefault="0085294B" w:rsidP="00E37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9EF25" w14:textId="77777777" w:rsidR="0085294B" w:rsidRDefault="0085294B" w:rsidP="00E37726">
      <w:pPr>
        <w:spacing w:after="0" w:line="240" w:lineRule="auto"/>
      </w:pPr>
      <w:r>
        <w:separator/>
      </w:r>
    </w:p>
  </w:footnote>
  <w:footnote w:type="continuationSeparator" w:id="0">
    <w:p w14:paraId="421E3E7D" w14:textId="77777777" w:rsidR="0085294B" w:rsidRDefault="0085294B" w:rsidP="00E37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2D823" w14:textId="7F3AAA6B" w:rsidR="00E37726" w:rsidRDefault="007A2739">
    <w:pPr>
      <w:pStyle w:val="Header"/>
    </w:pPr>
    <w:r w:rsidRPr="00050732">
      <w:rPr>
        <w:noProof/>
      </w:rPr>
      <w:drawing>
        <wp:anchor distT="0" distB="0" distL="114300" distR="114300" simplePos="0" relativeHeight="251659264" behindDoc="1" locked="0" layoutInCell="1" allowOverlap="1" wp14:anchorId="4DFCF980" wp14:editId="20763C61">
          <wp:simplePos x="0" y="0"/>
          <wp:positionH relativeFrom="margin">
            <wp:posOffset>-510540</wp:posOffset>
          </wp:positionH>
          <wp:positionV relativeFrom="topMargin">
            <wp:posOffset>728951</wp:posOffset>
          </wp:positionV>
          <wp:extent cx="1823085" cy="494665"/>
          <wp:effectExtent l="0" t="0" r="5715" b="63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sa_logo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3085" cy="494665"/>
                  </a:xfrm>
                  <a:prstGeom prst="rect">
                    <a:avLst/>
                  </a:prstGeom>
                </pic:spPr>
              </pic:pic>
            </a:graphicData>
          </a:graphic>
          <wp14:sizeRelH relativeFrom="page">
            <wp14:pctWidth>0</wp14:pctWidth>
          </wp14:sizeRelH>
          <wp14:sizeRelV relativeFrom="page">
            <wp14:pctHeight>0</wp14:pctHeight>
          </wp14:sizeRelV>
        </wp:anchor>
      </w:drawing>
    </w:r>
    <w:r w:rsidR="003443B5">
      <w:rPr>
        <w:noProof/>
      </w:rPr>
      <w:drawing>
        <wp:anchor distT="0" distB="0" distL="114300" distR="114300" simplePos="0" relativeHeight="251666432" behindDoc="0" locked="0" layoutInCell="1" allowOverlap="0" wp14:anchorId="4C744670" wp14:editId="5BCAF76D">
          <wp:simplePos x="0" y="0"/>
          <wp:positionH relativeFrom="margin">
            <wp:align>right</wp:align>
          </wp:positionH>
          <wp:positionV relativeFrom="margin">
            <wp:posOffset>-776122</wp:posOffset>
          </wp:positionV>
          <wp:extent cx="828675" cy="1304925"/>
          <wp:effectExtent l="0" t="0" r="9525" b="9525"/>
          <wp:wrapSquare wrapText="bothSides"/>
          <wp:docPr id="6" name="Picture 6" descr="nre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re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867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67EC" w:rsidRPr="00050732">
      <w:rPr>
        <w:noProof/>
      </w:rPr>
      <w:drawing>
        <wp:anchor distT="0" distB="0" distL="114300" distR="114300" simplePos="0" relativeHeight="251663360" behindDoc="1" locked="0" layoutInCell="1" allowOverlap="1" wp14:anchorId="23D1B29F" wp14:editId="5EDBBCBD">
          <wp:simplePos x="0" y="0"/>
          <wp:positionH relativeFrom="column">
            <wp:posOffset>3227163</wp:posOffset>
          </wp:positionH>
          <wp:positionV relativeFrom="paragraph">
            <wp:posOffset>-140201</wp:posOffset>
          </wp:positionV>
          <wp:extent cx="1162050" cy="967740"/>
          <wp:effectExtent l="0" t="0" r="0" b="3810"/>
          <wp:wrapNone/>
          <wp:docPr id="3" name="Picture 3" descr="NREACLogo[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REACLogo[4C]"/>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62050" cy="967740"/>
                  </a:xfrm>
                  <a:prstGeom prst="rect">
                    <a:avLst/>
                  </a:prstGeom>
                  <a:noFill/>
                  <a:ln>
                    <a:noFill/>
                  </a:ln>
                </pic:spPr>
              </pic:pic>
            </a:graphicData>
          </a:graphic>
          <wp14:sizeRelH relativeFrom="page">
            <wp14:pctWidth>0</wp14:pctWidth>
          </wp14:sizeRelH>
          <wp14:sizeRelV relativeFrom="page">
            <wp14:pctHeight>0</wp14:pctHeight>
          </wp14:sizeRelV>
        </wp:anchor>
      </w:drawing>
    </w:r>
    <w:r w:rsidR="009567EC">
      <w:rPr>
        <w:noProof/>
      </w:rPr>
      <w:drawing>
        <wp:anchor distT="0" distB="0" distL="114300" distR="114300" simplePos="0" relativeHeight="251664384" behindDoc="0" locked="0" layoutInCell="1" allowOverlap="1" wp14:anchorId="1BCD39A1" wp14:editId="2110168F">
          <wp:simplePos x="0" y="0"/>
          <wp:positionH relativeFrom="margin">
            <wp:posOffset>1752524</wp:posOffset>
          </wp:positionH>
          <wp:positionV relativeFrom="page">
            <wp:posOffset>236855</wp:posOffset>
          </wp:positionV>
          <wp:extent cx="922655" cy="113220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ESA_logo_stacked-small.jpg"/>
                  <pic:cNvPicPr/>
                </pic:nvPicPr>
                <pic:blipFill>
                  <a:blip r:embed="rId4">
                    <a:extLst>
                      <a:ext uri="{28A0092B-C50C-407E-A947-70E740481C1C}">
                        <a14:useLocalDpi xmlns:a14="http://schemas.microsoft.com/office/drawing/2010/main" val="0"/>
                      </a:ext>
                    </a:extLst>
                  </a:blip>
                  <a:stretch>
                    <a:fillRect/>
                  </a:stretch>
                </pic:blipFill>
                <pic:spPr>
                  <a:xfrm>
                    <a:off x="0" y="0"/>
                    <a:ext cx="922655" cy="113220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726"/>
    <w:rsid w:val="0007575A"/>
    <w:rsid w:val="00090A1D"/>
    <w:rsid w:val="000B16AD"/>
    <w:rsid w:val="00185C22"/>
    <w:rsid w:val="00186FC1"/>
    <w:rsid w:val="001879EF"/>
    <w:rsid w:val="00225360"/>
    <w:rsid w:val="002A3517"/>
    <w:rsid w:val="00303046"/>
    <w:rsid w:val="00321F0E"/>
    <w:rsid w:val="003443B5"/>
    <w:rsid w:val="00352EC8"/>
    <w:rsid w:val="00495568"/>
    <w:rsid w:val="00563AD4"/>
    <w:rsid w:val="006C26BC"/>
    <w:rsid w:val="007352E3"/>
    <w:rsid w:val="0076673F"/>
    <w:rsid w:val="007A0F52"/>
    <w:rsid w:val="007A2739"/>
    <w:rsid w:val="007B51B3"/>
    <w:rsid w:val="00831A5C"/>
    <w:rsid w:val="00842F0A"/>
    <w:rsid w:val="0085294B"/>
    <w:rsid w:val="008A4DB1"/>
    <w:rsid w:val="008C52C6"/>
    <w:rsid w:val="008D5959"/>
    <w:rsid w:val="00914623"/>
    <w:rsid w:val="009567EC"/>
    <w:rsid w:val="009779E6"/>
    <w:rsid w:val="00984106"/>
    <w:rsid w:val="00A35F28"/>
    <w:rsid w:val="00B54172"/>
    <w:rsid w:val="00B740BC"/>
    <w:rsid w:val="00B934C2"/>
    <w:rsid w:val="00C00054"/>
    <w:rsid w:val="00C4737B"/>
    <w:rsid w:val="00C90B3F"/>
    <w:rsid w:val="00C9297D"/>
    <w:rsid w:val="00CA242B"/>
    <w:rsid w:val="00CD169D"/>
    <w:rsid w:val="00CF5EB0"/>
    <w:rsid w:val="00D11EE6"/>
    <w:rsid w:val="00D2308F"/>
    <w:rsid w:val="00DF2613"/>
    <w:rsid w:val="00E07C4A"/>
    <w:rsid w:val="00E37726"/>
    <w:rsid w:val="00E66577"/>
    <w:rsid w:val="00F10167"/>
    <w:rsid w:val="00FA5B99"/>
    <w:rsid w:val="00FB7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F8BC4"/>
  <w15:chartTrackingRefBased/>
  <w15:docId w15:val="{60C6DC7B-2427-4768-A0DC-57CA3675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77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7726"/>
  </w:style>
  <w:style w:type="paragraph" w:styleId="Footer">
    <w:name w:val="footer"/>
    <w:basedOn w:val="Normal"/>
    <w:link w:val="FooterChar"/>
    <w:uiPriority w:val="99"/>
    <w:unhideWhenUsed/>
    <w:rsid w:val="00E377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7726"/>
  </w:style>
  <w:style w:type="character" w:styleId="Hyperlink">
    <w:name w:val="Hyperlink"/>
    <w:basedOn w:val="DefaultParagraphFont"/>
    <w:uiPriority w:val="99"/>
    <w:unhideWhenUsed/>
    <w:rsid w:val="00E66577"/>
    <w:rPr>
      <w:color w:val="0563C1" w:themeColor="hyperlink"/>
      <w:u w:val="single"/>
    </w:rPr>
  </w:style>
  <w:style w:type="character" w:styleId="UnresolvedMention">
    <w:name w:val="Unresolved Mention"/>
    <w:basedOn w:val="DefaultParagraphFont"/>
    <w:uiPriority w:val="99"/>
    <w:semiHidden/>
    <w:unhideWhenUsed/>
    <w:rsid w:val="00E66577"/>
    <w:rPr>
      <w:color w:val="808080"/>
      <w:shd w:val="clear" w:color="auto" w:fill="E6E6E6"/>
    </w:rPr>
  </w:style>
  <w:style w:type="character" w:styleId="CommentReference">
    <w:name w:val="annotation reference"/>
    <w:basedOn w:val="DefaultParagraphFont"/>
    <w:uiPriority w:val="99"/>
    <w:semiHidden/>
    <w:unhideWhenUsed/>
    <w:rsid w:val="00CF5EB0"/>
    <w:rPr>
      <w:sz w:val="16"/>
      <w:szCs w:val="16"/>
    </w:rPr>
  </w:style>
  <w:style w:type="paragraph" w:styleId="CommentText">
    <w:name w:val="annotation text"/>
    <w:basedOn w:val="Normal"/>
    <w:link w:val="CommentTextChar"/>
    <w:uiPriority w:val="99"/>
    <w:semiHidden/>
    <w:unhideWhenUsed/>
    <w:rsid w:val="00CF5EB0"/>
    <w:pPr>
      <w:spacing w:line="240" w:lineRule="auto"/>
    </w:pPr>
    <w:rPr>
      <w:sz w:val="20"/>
      <w:szCs w:val="20"/>
    </w:rPr>
  </w:style>
  <w:style w:type="character" w:customStyle="1" w:styleId="CommentTextChar">
    <w:name w:val="Comment Text Char"/>
    <w:basedOn w:val="DefaultParagraphFont"/>
    <w:link w:val="CommentText"/>
    <w:uiPriority w:val="99"/>
    <w:semiHidden/>
    <w:rsid w:val="00CF5EB0"/>
    <w:rPr>
      <w:sz w:val="20"/>
      <w:szCs w:val="20"/>
    </w:rPr>
  </w:style>
  <w:style w:type="paragraph" w:styleId="CommentSubject">
    <w:name w:val="annotation subject"/>
    <w:basedOn w:val="CommentText"/>
    <w:next w:val="CommentText"/>
    <w:link w:val="CommentSubjectChar"/>
    <w:uiPriority w:val="99"/>
    <w:semiHidden/>
    <w:unhideWhenUsed/>
    <w:rsid w:val="00CF5EB0"/>
    <w:rPr>
      <w:b/>
      <w:bCs/>
    </w:rPr>
  </w:style>
  <w:style w:type="character" w:customStyle="1" w:styleId="CommentSubjectChar">
    <w:name w:val="Comment Subject Char"/>
    <w:basedOn w:val="CommentTextChar"/>
    <w:link w:val="CommentSubject"/>
    <w:uiPriority w:val="99"/>
    <w:semiHidden/>
    <w:rsid w:val="00CF5EB0"/>
    <w:rPr>
      <w:b/>
      <w:bCs/>
      <w:sz w:val="20"/>
      <w:szCs w:val="20"/>
    </w:rPr>
  </w:style>
  <w:style w:type="paragraph" w:styleId="BalloonText">
    <w:name w:val="Balloon Text"/>
    <w:basedOn w:val="Normal"/>
    <w:link w:val="BalloonTextChar"/>
    <w:uiPriority w:val="99"/>
    <w:semiHidden/>
    <w:unhideWhenUsed/>
    <w:rsid w:val="00CF5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crogers@aasa.org" TargetMode="Externa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53D550B2D8994E81F339E5242EFD28" ma:contentTypeVersion="10" ma:contentTypeDescription="Create a new document." ma:contentTypeScope="" ma:versionID="08af2ca0b833fe268e2ec375a304588b">
  <xsd:schema xmlns:xsd="http://www.w3.org/2001/XMLSchema" xmlns:xs="http://www.w3.org/2001/XMLSchema" xmlns:p="http://schemas.microsoft.com/office/2006/metadata/properties" xmlns:ns2="34b16050-41ae-41ea-ae08-597315b30d4d" targetNamespace="http://schemas.microsoft.com/office/2006/metadata/properties" ma:root="true" ma:fieldsID="06d80ccb7d986863c53a02d9767590c8" ns2:_="">
    <xsd:import namespace="34b16050-41ae-41ea-ae08-597315b30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16050-41ae-41ea-ae08-597315b30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E8A71-A596-4A7C-B119-4CC68E1746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E9B487-319F-4D0C-AAB0-A0EEF4880B61}">
  <ds:schemaRefs>
    <ds:schemaRef ds:uri="http://schemas.microsoft.com/sharepoint/v3/contenttype/forms"/>
  </ds:schemaRefs>
</ds:datastoreItem>
</file>

<file path=customXml/itemProps3.xml><?xml version="1.0" encoding="utf-8"?>
<ds:datastoreItem xmlns:ds="http://schemas.openxmlformats.org/officeDocument/2006/customXml" ds:itemID="{E484118D-1CA3-4B80-84CE-02EEB9039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16050-41ae-41ea-ae08-597315b30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Finnan, Leslie</dc:creator>
  <cp:keywords/>
  <dc:description/>
  <cp:lastModifiedBy>Rogers, Christian</cp:lastModifiedBy>
  <cp:revision>8</cp:revision>
  <dcterms:created xsi:type="dcterms:W3CDTF">2019-10-29T17:41:00Z</dcterms:created>
  <dcterms:modified xsi:type="dcterms:W3CDTF">2019-10-29T18:46:00Z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0x0101007C53D550B2D8994E81F339E5242EFD28</vt:lpwstr>
  </property>
</Properties>
</file>